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DB4101" w14:textId="29542EA7" w:rsidR="00DD7F2D" w:rsidRPr="00054C12" w:rsidRDefault="00054C12" w:rsidP="00054C12">
      <w:pPr>
        <w:pStyle w:val="Nagwek1"/>
        <w:ind w:firstLine="10490"/>
        <w:rPr>
          <w:bCs w:val="0"/>
          <w:sz w:val="22"/>
          <w:szCs w:val="22"/>
        </w:rPr>
      </w:pPr>
      <w:r w:rsidRPr="00054C12">
        <w:rPr>
          <w:bCs w:val="0"/>
          <w:i/>
          <w:color w:val="2F5496"/>
          <w:sz w:val="22"/>
          <w:szCs w:val="22"/>
        </w:rPr>
        <w:t>Załącznik nr 2 do SWZ</w:t>
      </w:r>
    </w:p>
    <w:p w14:paraId="78CE173B" w14:textId="0C53C5E3" w:rsidR="00D37A65" w:rsidRPr="00DD7F2D" w:rsidRDefault="00000000" w:rsidP="00DD7F2D">
      <w:pPr>
        <w:pStyle w:val="Nagwek1"/>
        <w:jc w:val="center"/>
        <w:rPr>
          <w:sz w:val="22"/>
          <w:szCs w:val="22"/>
        </w:rPr>
      </w:pPr>
      <w:r w:rsidRPr="00DD7F2D">
        <w:rPr>
          <w:sz w:val="22"/>
          <w:szCs w:val="22"/>
        </w:rPr>
        <w:t>SZCZEGÓŁOWA TABELA ZGODNOŚCI TECHNICZNEJ (1:1 Z PFU V12)</w:t>
      </w:r>
    </w:p>
    <w:p w14:paraId="155E3988" w14:textId="3DC24327" w:rsidR="00D37A65" w:rsidRPr="00DD7F2D" w:rsidRDefault="00000000" w:rsidP="00DD7F2D">
      <w:pPr>
        <w:pStyle w:val="Nagwek2"/>
        <w:spacing w:before="0"/>
        <w:jc w:val="center"/>
        <w:rPr>
          <w:sz w:val="22"/>
          <w:szCs w:val="22"/>
        </w:rPr>
      </w:pPr>
      <w:r w:rsidRPr="00DD7F2D">
        <w:rPr>
          <w:sz w:val="22"/>
          <w:szCs w:val="22"/>
        </w:rPr>
        <w:t xml:space="preserve">Wrocławskie Mobilne Centrum Informacji (WMCI) w trybie „Zaprojektuj i </w:t>
      </w:r>
      <w:r w:rsidR="00C40193">
        <w:rPr>
          <w:sz w:val="22"/>
          <w:szCs w:val="22"/>
        </w:rPr>
        <w:t>dostarcz</w:t>
      </w:r>
      <w:r w:rsidRPr="00DD7F2D">
        <w:rPr>
          <w:sz w:val="22"/>
          <w:szCs w:val="22"/>
        </w:rPr>
        <w:t>”</w:t>
      </w:r>
    </w:p>
    <w:p w14:paraId="1AE52AC2" w14:textId="195E03DF" w:rsidR="00DD7F2D" w:rsidRPr="00DD7F2D" w:rsidRDefault="00000000" w:rsidP="00DD7F2D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</w:pPr>
      <w:r w:rsidRPr="00DD7F2D">
        <w:rPr>
          <w:b/>
          <w:bCs/>
        </w:rPr>
        <w:t>Instrukcja dla Wykonawcy:</w:t>
      </w:r>
      <w:r w:rsidRPr="00DD7F2D">
        <w:t xml:space="preserve"> </w:t>
      </w:r>
      <w:r w:rsidR="008D12EB">
        <w:t>Wykonawca zobowiązany jest do wypełnienia kolumny „Parametr oferowany przez Wykonawcę" osobno dla każdego wiersza. Łączenie parametrów lub pozostawienie pustych komórek jest niedozwolone i skutkuje odrzuceniem oferty. W przypadku rozbieżności pomiędzy wartością parametru wskazaną w niniejszej Tabeli a wartością zadeklarowaną w Formularzu Oferty, wiążąca jest wartość z Formularza Oferty (dotyczy w szczególności parametrów ocenianych w kryteriach — TR, GZ, GP — oraz pojemności banku energii).</w:t>
      </w:r>
    </w:p>
    <w:tbl>
      <w:tblPr>
        <w:tblStyle w:val="a"/>
        <w:tblW w:w="1404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2295"/>
        <w:gridCol w:w="1095"/>
        <w:gridCol w:w="4380"/>
        <w:gridCol w:w="5640"/>
      </w:tblGrid>
      <w:tr w:rsidR="00D37A65" w14:paraId="3D1F6743" w14:textId="77777777">
        <w:trPr>
          <w:tblHeader/>
        </w:trPr>
        <w:tc>
          <w:tcPr>
            <w:tcW w:w="630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A93A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2295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9FCD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Element wyposażenia / Parametr</w:t>
            </w:r>
          </w:p>
        </w:tc>
        <w:tc>
          <w:tcPr>
            <w:tcW w:w="1095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94F0E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4380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EB6C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Szczegółowe wymagania Zamawiającego (Zgodnie z PFU v12)</w:t>
            </w:r>
          </w:p>
        </w:tc>
        <w:tc>
          <w:tcPr>
            <w:tcW w:w="5640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B4BB4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Parametr oferowany przez Wykonawcę</w:t>
            </w:r>
          </w:p>
          <w:p w14:paraId="0D8186D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37A65" w14:paraId="1D4A9C9D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94EC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E10A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Podstawowe parametry podwozia</w:t>
            </w:r>
          </w:p>
        </w:tc>
      </w:tr>
      <w:tr w:rsidR="00D37A65" w14:paraId="59B6A38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706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6BAA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 i rok produkcji pojazdu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10C4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F03A5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Pojazd fabrycznie nowy, nieużywany. Rok produkcji zgodny z rokiem dostawy, bez przebiegu.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FAC07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1F9ED20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BFCA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997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DMC – Dopuszczalna Masa Całkowita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4C4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220B2" w14:textId="5FE62838" w:rsidR="00D37A65" w:rsidRDefault="008D1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8D12EB">
              <w:rPr>
                <w:sz w:val="20"/>
                <w:szCs w:val="20"/>
              </w:rPr>
              <w:t>Maksymalnie 3 500 kg. Podwozie typu platforma (niskopodłogowa) dedykowane pod zabudowy specjalne.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ACF32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57ACA5B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0ABBE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D7F1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Silnik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50E3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2245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Wysokoprężny (Diesel), moc min. 120 KM. Norma emisji spalin min. Euro 6.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BF144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09472C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1CC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038EC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Skrzynia biegów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89702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FD4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Manualna, min. 6-stopniowa.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AC8C7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E290A1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0387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F9F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Kabina kierowcy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6507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EBA3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3-osobowa (kierowca + 2 operatorów). Klimatyzacja fabryczna.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E07D0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4B19F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744BE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909D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Masa własna pojazdu </w:t>
            </w:r>
            <w:r>
              <w:rPr>
                <w:sz w:val="20"/>
                <w:szCs w:val="20"/>
              </w:rPr>
              <w:lastRenderedPageBreak/>
              <w:t>bazowego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088C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45B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1 800 kg - 2 000 kg.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02AA4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244515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2F1C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3.1.7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680E1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Zawieszenie i alternator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073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645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Zawieszenie tylne wzmocnione fabrycznie. Alternator o podwyższonej wydajności, min. 180 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EF600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53EB385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F29F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D8F51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Wymiary zewnętrzne pojazdu z zabudową</w:t>
            </w:r>
          </w:p>
        </w:tc>
      </w:tr>
      <w:tr w:rsidR="00D37A65" w14:paraId="7974B55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79B21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B1B5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bez lusterek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83DB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B3F8B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2 300 mm – 2 400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91B2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423D46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5D87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196D9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z lusterkami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8E62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74BCA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2 350 mm – 2 750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5A41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46C98C0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983E0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9128E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osi przedniej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AF7E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4B4E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1 750 mm – 1 850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7BE77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B610100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2CDE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65C1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osi tylnej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82F2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F5DC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1 750 mm – 1 850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1D26A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676F45E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7054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66F4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Rozstaw osi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403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BDBFF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 3 900 mm - 4 300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7B0B8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64CE80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8993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543B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Wyposażenie mechaniczne podwozia</w:t>
            </w:r>
          </w:p>
        </w:tc>
      </w:tr>
      <w:tr w:rsidR="00D37A65" w14:paraId="401F3A6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52F5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A958E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Lusterka zewnętrzne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C5681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364A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długich ramionach dostosowanych do poszerzonej zabudowy kontenerowej. Konstrukcja dwudzielna: lustro główne oraz dodatkowe lustro sferyczne (szerokokątne) w dolnej sekcji, eliminujące martwe pole.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D74FD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7AEB5E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117EC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3A6D7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Ogumienie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85624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1798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Klasa B wg etykiety UE (przyczepność </w:t>
            </w:r>
            <w:proofErr w:type="gramStart"/>
            <w:r>
              <w:rPr>
                <w:sz w:val="20"/>
                <w:szCs w:val="20"/>
              </w:rPr>
              <w:t>hamowania  na</w:t>
            </w:r>
            <w:proofErr w:type="gramEnd"/>
            <w:r>
              <w:rPr>
                <w:sz w:val="20"/>
                <w:szCs w:val="20"/>
              </w:rPr>
              <w:t xml:space="preserve"> mokrej nawierzchni).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4FCE6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D28E38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8694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FEA3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Szyby przednie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E24F8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119E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Elektrycznie sterowane.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B423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53815D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AE2C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058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Lusterka boczne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88C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91AF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Elektrycznie regulowane i podgrzewane.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C33B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81600CD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A9F1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C0D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Radioodbiornik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C8E16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7C3E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min. 2 głośnikami zintegrowanymi z kabiną. Łączność Bluetooth (profil A2DP i HFP).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71E2C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10BA8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992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F017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Hak holowniczy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D3F9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0578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dopuszczalna masa ciągnięta: 2 000 kg. Wykonawca wskazuje parametry.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E7FE3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60550E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FD2F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3.3.7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DDEB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1] Tachograf cyfrowy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A0AB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E1109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Tachograf cyfrowy homologowany zgodnie z rozporządzeniem (UE) nr 165/2014, zainstalowany fabrycznie lub przez autoryzowany serwis. Wykonawca wskazuje typ urządzenia i podaje wpływ na DMC.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4653B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4BBEC3E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FD1F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A9C3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Podpory stabilizacyjne podwozia na czas rozłożonego podestu</w:t>
            </w:r>
          </w:p>
        </w:tc>
      </w:tr>
      <w:tr w:rsidR="00D37A65" w14:paraId="5F622CCB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62DB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93E9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i typ podpór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70B9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FD8E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podpory mechaniczne (wykręcane), montowane do ramy podwozia in tylnej części pojazdu.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819C9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7C40BE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D47F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9E3E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Cyfrowy asystent poziomowania (Bluetooth)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C3F25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3554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 </w:t>
            </w:r>
            <w:proofErr w:type="spellStart"/>
            <w:r>
              <w:rPr>
                <w:sz w:val="20"/>
                <w:szCs w:val="20"/>
              </w:rPr>
              <w:t>CaraTech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EasyLevel</w:t>
            </w:r>
            <w:proofErr w:type="spellEnd"/>
            <w:r>
              <w:rPr>
                <w:sz w:val="20"/>
                <w:szCs w:val="20"/>
              </w:rPr>
              <w:t xml:space="preserve"> lub równoważny. Precyzyjny sensor cyfrowy montowany na stałe w pojeździe, przesyłający w czasie rzeczywistym dane o poziomie (osi podłużnej i poprzecznej) do aplikacji mobilnej (Android/iOS) przez Bluetooth. Musi umożliwiać kalibrację „punktu zerowego” po zabudowie i zapewniać precyzyjny feedback wizualny na smartfonie/tablecie operatora.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01B68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974FF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0A1D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0843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Optymalizacja stabilności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05E0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54F5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Wykonawca w projekcie koncepcyjnym określa docelową liczbę i rozmieszczenie podpór (min. </w:t>
            </w:r>
            <w:r>
              <w:rPr>
                <w:sz w:val="20"/>
                <w:szCs w:val="20"/>
              </w:rPr>
              <w:lastRenderedPageBreak/>
              <w:t>2), gwarantującą pełną stabilność pojazdu przy rozłożonym podeście bocznym oraz otwartej klapie tylnej.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4120E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3AEBE4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E4D7E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3CADB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podpór wariantu podstawowego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005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4BE45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Ręczna za pomocą dedykowanej korby. Konstrukcja umożliwiająca szybkie opuszczenie i zablokowanie.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3A71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801268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C6933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A94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2] System podpór sterowanych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48A5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B87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Zastąpienie podpór mechanicznych systemem siłowników elektrycznych lub hydraulicznych sterowanych z pilota lub panelu. Wykonawca dobiera optymalny sposób zasilania systemu.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4AF0B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A73C177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2FA3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9A377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3] Zaawansowany system wspierający poziomowanie Auto-</w:t>
            </w:r>
            <w:proofErr w:type="spellStart"/>
            <w:r>
              <w:rPr>
                <w:sz w:val="20"/>
                <w:szCs w:val="20"/>
              </w:rPr>
              <w:t>Leveling</w:t>
            </w:r>
            <w:proofErr w:type="spellEnd"/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DC7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D98E2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Samodzielny system: Zastąpienie podpór mechanicznych siłownikami zintegrowanymi z modułem pełnej automatyzacji poziomu (jedno przyciśnięcie). System samoczynnie koryguje przechyły.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EEE2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8A1ACA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D19D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3.4.7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9590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Sygnalizacja i bezpieczeństwo podpór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D632E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6BBA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Niezależnie od wybranego systemu: wizualne/dźwiękowe ostrzeżenie w kabinie kierowcy o rozłożonych podporach, uniemożliwiające przypadkowe ruszenie pojazdem.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CB75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A6C7EF3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68DFF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655B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Kamery zewnętrzne manewrowe i czujniki</w:t>
            </w:r>
          </w:p>
        </w:tc>
      </w:tr>
      <w:tr w:rsidR="00D37A65" w14:paraId="4A3127C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F124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7D44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Kamery zewnętrzne manewrowe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8BA9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DAE42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4 kamery zewnętrzne (przód, tył, lewa, prawa) z widokiem łączonym lub przełączanym, obsługiwane z niezależnego monitora LCD min. 10" w szoferce. Odporne na </w:t>
            </w:r>
            <w:r>
              <w:rPr>
                <w:sz w:val="20"/>
                <w:szCs w:val="20"/>
              </w:rPr>
              <w:lastRenderedPageBreak/>
              <w:t>warunki zewnętrzne: woda, kurz, drgania, zmienne temperatury.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6FC04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C5AB9A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D00D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9E276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Kamera cofania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A096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27D2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obrazem w kabinie kierowcy. Automatyczne przełączanie przy biegu wstecznym.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B5967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BAA3F2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06A9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5634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Ręczny wybór widoku kamer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37E9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FF98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Możliwość ręcznego wyboru dowolnej kamery przez użytkownika.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8F332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206805A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4588C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9DB4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Czujniki parkowania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2199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4838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Przednie i tylne, sygnalizacja akustyczna i wizualna.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36EBF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D6CE6FF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6C3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CB8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Rejestrator jazdy</w:t>
            </w:r>
          </w:p>
        </w:tc>
      </w:tr>
      <w:tr w:rsidR="00D37A65" w14:paraId="0CFA1389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E6812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692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Wideorejestrator</w:t>
            </w:r>
            <w:proofErr w:type="spellEnd"/>
            <w:r>
              <w:rPr>
                <w:sz w:val="20"/>
                <w:szCs w:val="20"/>
              </w:rPr>
              <w:t xml:space="preserve"> lokalizacja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61516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D24B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Dwukanałowy (przód i tył), Full HD (1920×1080). Zamontowany w kabinie, automatyczna aktywacja przy uruchomieniu pojazdu.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F5D50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762862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C25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D1B6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Nośnik zapisu rejestratora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52644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DB8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</w:t>
            </w:r>
            <w:proofErr w:type="spellStart"/>
            <w:r>
              <w:rPr>
                <w:sz w:val="20"/>
                <w:szCs w:val="20"/>
              </w:rPr>
              <w:t>microSD</w:t>
            </w:r>
            <w:proofErr w:type="spellEnd"/>
            <w:r>
              <w:rPr>
                <w:sz w:val="20"/>
                <w:szCs w:val="20"/>
              </w:rPr>
              <w:t xml:space="preserve"> lub równoważna, min. 256 GB. Nadpisywanie najstarszych nagrań w trybie pętli.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F1915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B9FDD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C0AF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076F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Rejestracja parametrów GPS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5B66B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7FACB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Data, czas i współrzędne GPS nanoszone na nagranie.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1160C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5A2F24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4C1B9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CC2F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Czujnik przeciążeń G-sensor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3B973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24CAB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Czujnik przeciążeń – automatyczne zabezpieczenie nagrania przy kolizji lub gwałtownym hamowaniu.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82592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066CA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46D3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4EF3B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rejestratora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926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75CC1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drgania i zmienne temperatury w warunkach eksploatacji pojazdu specjalnego.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2484C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EA3B0F6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8342D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4.3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A936A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System </w:t>
            </w:r>
            <w:proofErr w:type="spellStart"/>
            <w:r>
              <w:rPr>
                <w:b/>
                <w:bCs/>
                <w:sz w:val="20"/>
                <w:szCs w:val="20"/>
              </w:rPr>
              <w:t>telematyczny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GPS</w:t>
            </w:r>
          </w:p>
        </w:tc>
      </w:tr>
      <w:tr w:rsidR="00D37A65" w14:paraId="3B8B063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C8C1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C59FC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Nadajnik GPS funkcje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8EA17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D4C0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Zdalny nadzór w czasie rzeczywistym: lokalizacja, prędkość, poziom paliwa, przebieg, historia tras i postojów.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D77AB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C1DB10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7A0F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B7187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Dostęp do platformy </w:t>
            </w:r>
            <w:proofErr w:type="spellStart"/>
            <w:r>
              <w:rPr>
                <w:sz w:val="20"/>
                <w:szCs w:val="20"/>
              </w:rPr>
              <w:t>telematycznej</w:t>
            </w:r>
            <w:proofErr w:type="spellEnd"/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259C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C261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Panel webowy lub aplikacja mobilna. Dostęp zawarty w cenie przez min. 24 miesiące od daty odbioru.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3E8D5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D3AF85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FDCA1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3E56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Infrastruktura serwerowa GPS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7EDDA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0AA07E" w14:textId="6450A959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Wyłącznie na terenie EOG. Wymóg zgodności z RODO. </w:t>
            </w:r>
            <w:r w:rsidR="0068785E" w:rsidRPr="0068785E">
              <w:rPr>
                <w:sz w:val="20"/>
                <w:szCs w:val="20"/>
              </w:rPr>
              <w:t>Wykonawca potwierdza lokalizację serwerów na terenie EOG w niniejszej Tabeli, a szczegółowe wskazanie dostawcy platformy i lokalizacji serwerów przedstawia w projekcie koncepcyjnym (Etap I)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BBE48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C4E490A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551D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4E55A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Prywatność obrazu kamer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94B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18FB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Kamery manewrowe nie rejestrują ani nie przesyłają obrazu na zewnątrz pojazdu – służą wyłącznie wspomaganiu manewrowania w czasie rzeczywistym.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72345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20CDDD0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54EC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F881D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Zasilanie modułu GPS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9AAC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38C1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instalacji pojazdu, praca ciągła bez ingerencji operatora.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5B6A6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BCD83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A62E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520E3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Powiadomienia telemetryczne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F6F15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94C53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przekroczeniu parametrów: prędkość, strefa geograficzna, czas pracy.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5F5E9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B019554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BF9E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30A3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Technologia ścian i dachu kontenera</w:t>
            </w:r>
          </w:p>
        </w:tc>
      </w:tr>
      <w:tr w:rsidR="00D37A65" w14:paraId="01659ADB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CA82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FDFB5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Materiał ścian i dachu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9FF5F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AC22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Płyty warstwowe typu sandwich z rdzeniem </w:t>
            </w:r>
            <w:r>
              <w:rPr>
                <w:sz w:val="20"/>
                <w:szCs w:val="20"/>
              </w:rPr>
              <w:lastRenderedPageBreak/>
              <w:t xml:space="preserve">izolacyjnym, grubość minimalna 23 mm. Materiał rdzenia: pianka XPS, PU lub inny materiał izolacyjny dopuszczony do zastosowań w zabudowach mobilnych i </w:t>
            </w:r>
            <w:proofErr w:type="spellStart"/>
            <w:r>
              <w:rPr>
                <w:sz w:val="20"/>
                <w:szCs w:val="20"/>
              </w:rPr>
              <w:t>pojadzach</w:t>
            </w:r>
            <w:proofErr w:type="spellEnd"/>
            <w:r>
              <w:rPr>
                <w:sz w:val="20"/>
                <w:szCs w:val="20"/>
              </w:rPr>
              <w:t xml:space="preserve"> specjalnych. Poszycie zewnętrzne i wewnętrzne z gładkiego, zmywalnego laminatu poliestrowo-szklanego wykończenie półmat lub połysk. Wykonawca podaje materiał, grubość oraz lambdę/U.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AA03E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891240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F26B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0FD9F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materiałów kontenera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2A966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D8437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warunki atmosferyczne i intensywne użytkowanie mobilne. Doskonała izolacja termiczna oraz odporność na drgania skrętne ramy pojazdu.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0C42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22CE8D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F9B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2B78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Szczelność kontenera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972C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99CE0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pozycji zamkniętej – ochrona przed wodą i kurzem.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80B81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3FE4097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AD7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10191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na wiatr kontenera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9FE8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B362C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Konstrukcja odporna na działanie wiatru w pozycji otwartej.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0753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424B46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00808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5074B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 zabudowy z wyposażeniem stałym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99917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6ED3BB" w14:textId="2D5E1FC7" w:rsidR="00D37A65" w:rsidRDefault="00E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EE5FF6">
              <w:rPr>
                <w:sz w:val="20"/>
                <w:szCs w:val="20"/>
              </w:rPr>
              <w:t>Łączna masa pojazdu gotowego do pracy w wariancie podstawowym (podwozie + zabudowa + wyposażenie stałe + paliwo w 75% zbiornika) nie może przekroczyć 3 200 kg. Przy aktywacji opcji trwale zamontowanych — nie może przekroczyć 3 300 kg.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BD81A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44FCB40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296B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5.2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183FA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Wymiary zewnętrzne zabudowy</w:t>
            </w:r>
          </w:p>
        </w:tc>
      </w:tr>
      <w:tr w:rsidR="00D37A65" w14:paraId="7808622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355C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3107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zewnętrzna </w:t>
            </w:r>
            <w:r>
              <w:rPr>
                <w:sz w:val="20"/>
                <w:szCs w:val="20"/>
              </w:rPr>
              <w:lastRenderedPageBreak/>
              <w:t>kontenera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EF26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A960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4 200 mm – 4 700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CC32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E24590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AA2C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7E509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zewnętrzna kontenera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664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A3E2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2 250 mm – 2 350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3714C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6AD6A4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774A5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D204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zewnętrzna kontenera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7B118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5CB04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2 250 mm – 2 600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E26E4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79C5CB8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D28FB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5.3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DF53B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Wymiary wewnętrzne (użytkowe) kontenera</w:t>
            </w:r>
          </w:p>
        </w:tc>
      </w:tr>
      <w:tr w:rsidR="00D37A65" w14:paraId="126782B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9DB74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8C7CE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Długość wewnętrzna użytkowa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A166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D4749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4 100 mm - 4600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8967F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BC6700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0F9C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F1B10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wewnętrzna użytkowa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258A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AFCE2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2 100 mm - 2 350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8516B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1AF6CD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C4CA2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8C460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wewnętrzna przestrzeni roboczej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88C0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00B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2 100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52771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C41A5C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EE885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F2039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Nadkola kontenera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81A8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1EAA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Zabudowane i zintegrowane z układem meblowym.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84D73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185E0C0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0ED9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5.4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2702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Wysokość podłogi i wykończenie kontenera</w:t>
            </w:r>
          </w:p>
        </w:tc>
      </w:tr>
      <w:tr w:rsidR="00D37A65" w14:paraId="5DBFD63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0BD22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8B23E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podłogi zabudowy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ED0BB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E656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Maksymalnie 770 mm od poziomu podłoża do górnej krawędzi wykończonej podłogi wewnątrz zabudowy.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97E88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FDAA47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8AA4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C906C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Wykończenie podłogi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169FA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F7471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Podłoga wykonana z wodoodpornej sklejki impregnowana, wykładzina przemysłowa PVC zgrzewana na łączeniach lub wykładzina certyfikowana o równoważnych właściwościach </w:t>
            </w:r>
            <w:r>
              <w:rPr>
                <w:sz w:val="20"/>
                <w:szCs w:val="20"/>
              </w:rPr>
              <w:lastRenderedPageBreak/>
              <w:t>antypoślizgowych i wodoodpornych.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70438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CA1B53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E586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5.5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756C5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Czas rozkładania i składania zabudowy</w:t>
            </w:r>
          </w:p>
        </w:tc>
      </w:tr>
      <w:tr w:rsidR="00D37A65" w14:paraId="35176CD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728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1E1FD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przygotowania do pracy (1 osoba)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B869E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475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deklarowany czas [min] w ofercie. Weryfikacja przy odbiorze.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D7BA6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9C9039E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B769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57DEF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składania do pozycji transportowej (1 osoba)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12A1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D01BF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deklarowany czas [min] w ofercie. Weryfikacja przy odbiorze.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CE71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5C34F39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9C7D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8FD3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Klapa boczna i podest ekspozycyjny</w:t>
            </w:r>
          </w:p>
        </w:tc>
      </w:tr>
      <w:tr w:rsidR="00D37A65" w14:paraId="75DA75C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302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4EEB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Klapa boczna typ mechanizmu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A7D21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3354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Otwierana do góry siłownikami gazowymi z profilem ślimakowym mechanizmu dla wydłużenia żywotności.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29EF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78335E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E6194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5AB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Długość klapy bocznej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6FBDC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D1964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3 000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7EE0C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1D76A5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B7842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55D6E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Funkcja zadaszenia klapy bocznej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2377F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BD791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pozycji otwartej klapa stanowi zadaszenie podestu – ochrona przed opadami i nasłonecznieniem.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DC7DE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A8CE50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6D6B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37AE7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klapy bocznej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2C7A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6AEC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Oświetlenie LED </w:t>
            </w:r>
            <w:proofErr w:type="spellStart"/>
            <w:r>
              <w:rPr>
                <w:sz w:val="20"/>
                <w:szCs w:val="20"/>
              </w:rPr>
              <w:t>ambientowe</w:t>
            </w:r>
            <w:proofErr w:type="spellEnd"/>
            <w:r>
              <w:rPr>
                <w:sz w:val="20"/>
                <w:szCs w:val="20"/>
              </w:rPr>
              <w:t xml:space="preserve"> zintegrowane z klapą.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0D554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8C182B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3AF0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261F9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kurtyny ochronnej klapy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970B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A2C0F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Transparentne kurtyny lub panele boczne chroniące podest przed wiatrem, grubość min. 0,5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D1AC0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BD5354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C1E3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DD6B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Podest boczny – długość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63CE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0351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2 800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6989B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D219B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9D2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6.1.7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AB9D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Podest boczny – głębokość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B3F5C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E7A94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1 500 mm od ściany pojazdu. Wykonawca podaje oferowaną wartość i wpływ na masę pojazdu [kg].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56038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CD4BF0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2AE1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6.1.8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4CC1C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Poszycie podestu bocznego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B2D5F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C678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Wykonane z wodoodpornej sklejki impregnowanej, obleczona wykładzina przemysłowa PVC zgrzewana na łączeniach lub wykładzina certyfikowana o równoważnych właściwościach antypoślizgowych i wodoodpornych.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94DD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0A12F7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70D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6.1.9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FFD2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Różnica poziomów podest–podłoga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3AA6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24AD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Maksymalnie 20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0F725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66E2AD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A5ED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6.1.10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9DAC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Nośność podestu bocznego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F7F8D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1337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250 kg/m².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DC9A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58C60E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D66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F956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Barierki podestu bocznego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412B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CE2C2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Składane lub </w:t>
            </w:r>
            <w:proofErr w:type="spellStart"/>
            <w:r>
              <w:rPr>
                <w:sz w:val="20"/>
                <w:szCs w:val="20"/>
              </w:rPr>
              <w:t>demontowalne</w:t>
            </w:r>
            <w:proofErr w:type="spellEnd"/>
            <w:r>
              <w:rPr>
                <w:sz w:val="20"/>
                <w:szCs w:val="20"/>
              </w:rPr>
              <w:t>, wysokość min. 900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80A6D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C5FE3F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6DD0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F0883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Podpory podestu bocznego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A678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718F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Chowane i składane wraz z podestem.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06866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A8C4BD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B8F81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132D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Schody podestu bocznego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BDC8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D34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Dostawiane, szerokość min. 600 mm, wyposażone w atestowane poręcze.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658AD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81BD9D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4693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8EF31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Rampa dla OOM podestu bocznego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01F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A6BD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Składana aluminiowa rampa najazdowa, nośność min. 300 kg.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CBD2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A1C56B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5403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0BD3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podestu przez 1 osobę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BFDD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A08AE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Rozkładanie i składanie podestu możliwe przez jedną osobę.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FE9EB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176727E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731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6.1.16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6DFE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Minimalna wysokość podest-klapa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CE16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A10B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1 950 mm między rozłożonym podestem bocznym a klapą boczną.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A1062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DEAA80D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3219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FB90B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Tylna klapa i strefa wejścia</w:t>
            </w:r>
          </w:p>
        </w:tc>
      </w:tr>
      <w:tr w:rsidR="00D37A65" w14:paraId="0CCE6B1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3DB4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4AC0F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Klapa tylna parametry otworu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8F6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71BC3D" w14:textId="593B63B6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Otwierana do góry siłownikami gazowymi, tworząca zadaszenie strefy wejścia tylnego. Szerokość: min 1 500 mm, max zgodna z konstrukcją. Wysokość światła wejścia min. </w:t>
            </w:r>
            <w:r w:rsidR="00EE5FF6">
              <w:rPr>
                <w:sz w:val="20"/>
                <w:szCs w:val="20"/>
              </w:rPr>
              <w:t>2 000</w:t>
            </w:r>
            <w:r>
              <w:rPr>
                <w:sz w:val="20"/>
                <w:szCs w:val="20"/>
              </w:rPr>
              <w:t xml:space="preserve"> mm. Dolna krawędź otworu wejściowego </w:t>
            </w:r>
            <w:proofErr w:type="spellStart"/>
            <w:r>
              <w:rPr>
                <w:sz w:val="20"/>
                <w:szCs w:val="20"/>
              </w:rPr>
              <w:t>bezprogowa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4F3C7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831FC5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EC8A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94F8E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Stały stopień wejściowy tylny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1D72E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CE28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Umożliwiająca bezpieczne wejście do wnętrza od tyłu pojazdu. Powierzchnia antypoślizgowa.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05664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66A218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A9D5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5DE4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5] Składany blat obsługowy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8B6B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26D26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Składany blat obsługowy jako dodatkowe wyposażenie ruchome, przechowywane poza pojazdem. Montowany doraźnie przy tylnym wejściu jako lada obsługowa lub punkt </w:t>
            </w:r>
            <w:proofErr w:type="gramStart"/>
            <w:r>
              <w:rPr>
                <w:sz w:val="20"/>
                <w:szCs w:val="20"/>
              </w:rPr>
              <w:t>wydawania</w:t>
            </w:r>
            <w:proofErr w:type="gramEnd"/>
            <w:r>
              <w:rPr>
                <w:sz w:val="20"/>
                <w:szCs w:val="20"/>
              </w:rPr>
              <w:t xml:space="preserve"> gdy klapa boczna nie może być rozłożona. Nośność min. 30 kg. Mocowanie bez narzędzi.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3817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A0879E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94D81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6.3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33A07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Zabudowa meblowa i układ funkcjonalny kontenera</w:t>
            </w:r>
          </w:p>
        </w:tc>
      </w:tr>
      <w:tr w:rsidR="00D37A65" w14:paraId="77981CA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7FA4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C901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Materiał zabudowy stolarskiej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3B03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FD732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Lekka sklejka obustronnie laminowana (HPL) lub materiał równoważny o podobnych właściwościach (odporność na wilgoć, łatwość czyszczenia, niska masa). Zamki ryglowane typu „</w:t>
            </w:r>
            <w:proofErr w:type="spellStart"/>
            <w:r>
              <w:rPr>
                <w:sz w:val="20"/>
                <w:szCs w:val="20"/>
              </w:rPr>
              <w:t>push</w:t>
            </w:r>
            <w:proofErr w:type="spellEnd"/>
            <w:r>
              <w:rPr>
                <w:sz w:val="20"/>
                <w:szCs w:val="20"/>
              </w:rPr>
              <w:t xml:space="preserve">-lock” na wszystkich szafkach i schowkach. Wszystkie zamki otwierane </w:t>
            </w:r>
            <w:r>
              <w:rPr>
                <w:sz w:val="20"/>
                <w:szCs w:val="20"/>
              </w:rPr>
              <w:lastRenderedPageBreak/>
              <w:t>kluczem wspólnym.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38AED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70DEFE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8F6B6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187F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Ściana meblowa za kabiną kierowcy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CDE7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45E01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Ściana meblowa prostopadła do osi pojazdu, bezpośrednio za kabiną kierowcy. Musi zawierać szuflady w liczbie od 4 do 12. Pozostała przestrzeń ściany meblowej – szafki zamknięte lub blat roboczy – do ustalenia na etapie projektu koncepcyjnego. W ścianie meblowej lub bezpośrednio przy niej musi zostać przewidziane miejsce na podgrzewacz wody oraz bezpieczne miejsce do przechowywania i ładowania systemów kolumnowych audio w trakcie jazdy (szafka lub wnęka ze sztywnymi pasami transportowymi i minimum podwójnym gniazdem 230 V). Opcjonalnie zlew i lodówka kompresorowa.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B25FB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37110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B857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BC9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Strefa tylna – blat na nadkolu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400DC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5D3F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Blat roboczy na nadkolu w tylnej części kontenera. Wykonawca podaje wymiary i lokalizację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661B6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E37077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94C04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197B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Strefa tylna – szafka z blatem pod telewizorem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45661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69BB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 zamknięta z blatem, zlokalizowana pod uchwytem telewizora przy tylnej ścianie kontenera. Zintegrowana z instalacją elektryczną telewizora.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50937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78E41AA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2721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3DE6B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Strefa tylna – uchwyt telewizora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C927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F430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Uchwyt telewizora zamontowany nad nadkolem przy tylnej ścianie kontenera, umożliwiający bezpieczne mocowanie monitora na czas transportu. Kompatybilny z </w:t>
            </w:r>
            <w:r>
              <w:rPr>
                <w:sz w:val="20"/>
                <w:szCs w:val="20"/>
              </w:rPr>
              <w:lastRenderedPageBreak/>
              <w:t>ekranem 65".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EDB03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1B9E2F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79F12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240E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szyn mocujących (</w:t>
            </w:r>
            <w:proofErr w:type="spellStart"/>
            <w:r>
              <w:rPr>
                <w:sz w:val="20"/>
                <w:szCs w:val="20"/>
              </w:rPr>
              <w:t>airline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474F3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B7A80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2 linie szyn typu </w:t>
            </w:r>
            <w:proofErr w:type="spellStart"/>
            <w:r>
              <w:rPr>
                <w:sz w:val="20"/>
                <w:szCs w:val="20"/>
              </w:rPr>
              <w:t>airline</w:t>
            </w:r>
            <w:proofErr w:type="spellEnd"/>
            <w:r>
              <w:rPr>
                <w:sz w:val="20"/>
                <w:szCs w:val="20"/>
              </w:rPr>
              <w:t xml:space="preserve"> wzdłuż całej długości kontenera po obu stronach.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52E3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8EA317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618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6.3.7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1DDB6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 techniczna z dostępem serwisowym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775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D93E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Dedykowana szafka na urządzenia i instalacje (akumulatory, przetwornica, router, rozdzielnia elektryczna). Dostęp serwisowy bez demontażu pozostałego wyposażenia. Lokalizacja do ustalenia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4D635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2C1837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78891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6.3.8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30B9B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Minimalna szerokość ciągów komunikacyjnych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5139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2A3B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mm w każdym miejscu przestrzeni użytkowej niezależnie od przyjętego układu meblowego.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2F399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00EAB9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D40C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6.3.9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09DB6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 meblowy – projekt koncepcyjny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3293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BE3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przedstawia pełny rzut zabudowy z rozmieszczeniem elementów meblowych, podając konkretne wymiary każdego elementu i uzasadniając odstępstwa od koncepcji graficznej Zamawiającego. Projekt podlega pisemnej akceptacji przed przystąpieniem do Etapu II.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4102A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2B3C727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87B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FFC1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Osłona aerodynamiczna nad kabiną – przestrzeń magazynowa</w:t>
            </w:r>
          </w:p>
        </w:tc>
      </w:tr>
      <w:tr w:rsidR="00D37A65" w14:paraId="1CD33E1D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EC0D9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D14A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6] Osłona aerodynamiczna (spojler magazynowy)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0174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F9F99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Przestrzeń magazynowa w nadbudowie nad kabiną kierowcy, osłonięta spojlerem aerodynamicznym. Dostęp możliwy od wewnątrz kontenera, od wewnątrz kabiny kierowcy lub od zewnątrz pojazdu — </w:t>
            </w:r>
            <w:r>
              <w:rPr>
                <w:sz w:val="20"/>
                <w:szCs w:val="20"/>
              </w:rPr>
              <w:lastRenderedPageBreak/>
              <w:t>Wykonawca proponuje rozwiązanie w projekcie koncepcyjnym. Kształt aerodynamiczny. Szczelna, zabezpieczona na czas transportu.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E957A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6779DD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029F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B6571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i masa spojlera magazynowego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381A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55A2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pojemność [l lub m³] i wpływ na masę całkowitą pojazdu [kg] w odniesieniu do opcji nr 6.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4D168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EFF940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BAEE5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55B4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paneli ekspozycyjnych i montażu zewnętrznego</w:t>
            </w:r>
          </w:p>
        </w:tc>
      </w:tr>
      <w:tr w:rsidR="00D37A65" w14:paraId="2C9B425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39E07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653BB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Infrastruktura zawiasów rozłącznych podstawowych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B12A2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AA32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Dwie pionowe linie zawiasów rozłącznych ze stali nierdzewnej, każda złożona z min. 4 sztuk zawiasów rozmieszczonych równomiernie od góry do dołu ściany, zamontowanych na stałych ścianach kontenera flankujących otwór klapy bocznej — ścianie od strony przodu pojazdu i ścianie od strony tyłu pojazdu. Przednia linia zawiasów stanowi jednocześnie tylny punkt mocowania poprzeczki VESA. Zawiasy montowane wyłącznie na stałych elementach konstrukcji — nie na ruchomej klapie bocznej. Odporne na warunki atmosferyczne.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6D4FC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F0609C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4BE4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C5CE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Gęstość, uniwersalność i bezpieczeństwo systemu montażu zewnętrznego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5F7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5BE7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Rozmieszczenie zawiasów musi umożliwiać montaż paneli o różnych wymiarach (900×1 800 mm oraz 900×900 mm), w tym zawieszenie dwóch paneli pod sobą na tej samej linii. System musi umożliwiać jednoczesne i stabilne zawieszenie na jednej </w:t>
            </w:r>
            <w:r>
              <w:rPr>
                <w:sz w:val="20"/>
                <w:szCs w:val="20"/>
              </w:rPr>
              <w:lastRenderedPageBreak/>
              <w:t>linii poprzeczki VESA z telewizorem 65" oraz panelu połowicznego (900×900 mm). Konstrukcja ścian kontenera oraz samych zawiasów musi uwzględniać sumaryczne obciążenie statyczne i dynamiczne wynikające z konfiguracji mieszanych oraz wpływ parcia wiatru na zamontowane elementy ekspozycyjne.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08432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E18920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B248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88A0D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Możliwość rozbudowy systemu montażu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E7F6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9F6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musi umożliwiać jednoczesne i stabilne zawieszenie do dwóch paneli ekspozycyjnych pod sobą na każdej linii zawiasów WB, w tym konfiguracje przewidziane w prawach opcji.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3CBC8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66F39A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A614F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802B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4] Zawiasy rozłączne wzdłuż ściany przedniej przy szoferce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2283F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2D2B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Trzecia pionowa linia zawiasów rozłącznych ze stali nierdzewnej złożona z min. 4 sztuk rozmieszczonych równomiernie od góry do dołu ściany, zlokalizowana na ścianie kontenera od strony kabiny kierowcy, oddzielona od przedniej linii WB pasem min. 300 mm w kierunku kabiny. Służy wyłącznie jako przedni punkt mocowania poprzeczki VESA — </w:t>
            </w:r>
            <w:proofErr w:type="spellStart"/>
            <w:r>
              <w:rPr>
                <w:sz w:val="20"/>
                <w:szCs w:val="20"/>
              </w:rPr>
              <w:t>poprzczka</w:t>
            </w:r>
            <w:proofErr w:type="spellEnd"/>
            <w:r>
              <w:rPr>
                <w:sz w:val="20"/>
                <w:szCs w:val="20"/>
              </w:rPr>
              <w:t xml:space="preserve"> wisi między tą linią a przednią linią zawiasów WB na wybranej wysokości. Kompatybilna z systemem głównym.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F6B44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162A68D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045D9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6549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paneli w wariancie </w:t>
            </w:r>
            <w:r>
              <w:rPr>
                <w:sz w:val="20"/>
                <w:szCs w:val="20"/>
              </w:rPr>
              <w:lastRenderedPageBreak/>
              <w:t>podstawowym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6852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1F34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sztuki – jeden montowany z przodu podestu bocznego, jeden z tyłu.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2EE70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E05923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C5E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DC17C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Wymiary panelu podstawowego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8833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28228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900×1 800 mm. Panel montowany w orientacji pionowej (900 szerokość × 1 800 wysokość).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C0518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D9C8C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C856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6.5.7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1F1E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Konstrukcja panelu podstawowego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9926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5658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Rama aluminiowa. Lico panelu wykonane z </w:t>
            </w:r>
            <w:proofErr w:type="spellStart"/>
            <w:r>
              <w:rPr>
                <w:sz w:val="20"/>
                <w:szCs w:val="20"/>
              </w:rPr>
              <w:t>dibondu</w:t>
            </w:r>
            <w:proofErr w:type="spellEnd"/>
            <w:r>
              <w:rPr>
                <w:sz w:val="20"/>
                <w:szCs w:val="20"/>
              </w:rPr>
              <w:t>, przystosowane do oklejania folią samoprzylepną i jej usuwania bez uszkodzenia powierzchni.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8E302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742028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F7F2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6.5.8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C16A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panelu do zawiasów podstawowy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9E54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0EE7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Panel wpinany w zawiasy rozłączne zamontowane na ścianach kontenera po obu bokach podestu bocznego. Montaż i demontaż bez użycia narzędzi.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1A34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87ACC9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8F6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6.5.9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B3285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Blokada panelu do ściany kontenera podstawowa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2025A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0E4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Panel w pozycji roboczej blokowany do ściany bocznej kontenera mechanizmem uniemożliwiającym samoczynne zamknięcie lub odchylenie pod wpływem wiatru i drgań. Blokada </w:t>
            </w:r>
            <w:proofErr w:type="spellStart"/>
            <w:r>
              <w:rPr>
                <w:sz w:val="20"/>
                <w:szCs w:val="20"/>
              </w:rPr>
              <w:t>zwalnialna</w:t>
            </w:r>
            <w:proofErr w:type="spellEnd"/>
            <w:r>
              <w:rPr>
                <w:sz w:val="20"/>
                <w:szCs w:val="20"/>
              </w:rPr>
              <w:t xml:space="preserve"> bez użycia narzędzi. Wykonawca proponuje rozwiązanie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62F5C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D4F01A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6E69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6.5.10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C9EC4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Przechowywanie panelów w transporcie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93D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3C009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Dedykowane uchwyty transportowe montowane do klapy tylnej lub podestu bocznego. Rozwiązanie nie może utrudniać otwierania klapy tylnej ani rozkładania podestu. Wykonawca proponuje system mocowania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EEEEE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176236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FF74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</w:t>
            </w: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2B16B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[OPCJA 7] Poprzeczka </w:t>
            </w:r>
            <w:r>
              <w:rPr>
                <w:sz w:val="20"/>
                <w:szCs w:val="20"/>
              </w:rPr>
              <w:lastRenderedPageBreak/>
              <w:t>z uchwytem VESA do montażu ekranu zewnętrznego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1341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C3947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Poprzeczka ze stali nierdzewnej montowana </w:t>
            </w:r>
            <w:r>
              <w:rPr>
                <w:sz w:val="20"/>
                <w:szCs w:val="20"/>
              </w:rPr>
              <w:lastRenderedPageBreak/>
              <w:t>między dwoma zawiasami rozłącznymi, z zintegrowanym uchwytem montażowym zgodnym ze standardem VESA. Wzorce VESA: 200×200, 400×400 lub 600×400 mm. Wykonawca podaje udźwig poprzeczki i dostępne wzorce VESA. Ekran nie jest objęty tą opcją. Poprzeczka stanowi element niezbędny do montażu drugiego ekranu zewnętrznego (Opcja dodatkowa).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22E34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9D9EC7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386BD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D55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8] Dodatkowe panele pełnowymiarowe 900×1 800 mm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23114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B2B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Zamawiający może dokupić od 2 do 6 dodatkowych panelów pełnowymiarowych. Wykonawca podaje cenę jednostkową za 1 panel.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957C9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A12014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50BC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64702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[OPCJA 9] Panele </w:t>
            </w:r>
            <w:proofErr w:type="spellStart"/>
            <w:r>
              <w:rPr>
                <w:sz w:val="20"/>
                <w:szCs w:val="20"/>
              </w:rPr>
              <w:t>połorzyczne</w:t>
            </w:r>
            <w:proofErr w:type="spellEnd"/>
            <w:r>
              <w:rPr>
                <w:sz w:val="20"/>
                <w:szCs w:val="20"/>
              </w:rPr>
              <w:t xml:space="preserve"> 900×900 mm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F606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935B1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Zamawiający może dokupić od 2 do 8. Panele o wymiarach 900×900 mm, kompatybilne z uniwersalnym systemem zawiasów określonym w pkt 6.5. Wykonawca podaje cenę jednostkową za 1 panel.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1B4AD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50C4E90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C6DF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77FC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Bank energii i BMS</w:t>
            </w:r>
          </w:p>
        </w:tc>
      </w:tr>
      <w:tr w:rsidR="00D37A65" w14:paraId="3D78748A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EE92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B3DE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Akumulatory LiFePO4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9906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6964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Łączna pojemność min. 600 Ah. Technologia </w:t>
            </w:r>
            <w:proofErr w:type="spellStart"/>
            <w:r>
              <w:rPr>
                <w:sz w:val="20"/>
                <w:szCs w:val="20"/>
              </w:rPr>
              <w:t>litowo</w:t>
            </w:r>
            <w:proofErr w:type="spellEnd"/>
            <w:r>
              <w:rPr>
                <w:sz w:val="20"/>
                <w:szCs w:val="20"/>
              </w:rPr>
              <w:t>-żelazowo-fosforanowa z zintegrowanym BMS (zabezpieczenie przed przeładowaniem i nadmiernym rozładowaniem).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C075E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59F25B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BA68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CF6A9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Separacja elektryczna </w:t>
            </w:r>
            <w:r>
              <w:rPr>
                <w:sz w:val="20"/>
                <w:szCs w:val="20"/>
              </w:rPr>
              <w:lastRenderedPageBreak/>
              <w:t>akumulatorów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8365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A40A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Akumulatory zabudowy bezwzględnie </w:t>
            </w:r>
            <w:r>
              <w:rPr>
                <w:sz w:val="20"/>
                <w:szCs w:val="20"/>
              </w:rPr>
              <w:lastRenderedPageBreak/>
              <w:t>oddzielone od akumulatora rozruchowego silnika. Zabezpieczenie uniemożliwiające rozładowanie akumulatora rozruchowego przez zabudowę.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DF7A0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B29F56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B3584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4ED0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Ładowanie akumulatorów podczas jazdy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9F7CC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82D6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instalacji pojazdu, z automatycznym zarządzaniem ładowaniem (kontrola napięcia i prądu).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DD8F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304381A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B7DF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13CF4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Inwerter hybrydowy</w:t>
            </w:r>
          </w:p>
        </w:tc>
      </w:tr>
      <w:tr w:rsidR="00D37A65" w14:paraId="0C198BF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91EC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4E90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Inwerter hybrydowy parametry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01174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E60C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 ciągła min. 6 000 W, pełny sinus. Instalacja z wyłącznikami nadprądowymi i RCD.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75B12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1F9DF64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1C67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7.3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CB514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Przyłącze zewnętrzne (</w:t>
            </w:r>
            <w:proofErr w:type="spellStart"/>
            <w:r>
              <w:rPr>
                <w:b/>
                <w:bCs/>
                <w:sz w:val="20"/>
                <w:szCs w:val="20"/>
              </w:rPr>
              <w:t>Shore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Power)</w:t>
            </w:r>
          </w:p>
        </w:tc>
      </w:tr>
      <w:tr w:rsidR="00D37A65" w14:paraId="2BDFFAE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FBEDE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E3547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Gniazdo zewnętrzne </w:t>
            </w:r>
            <w:proofErr w:type="spellStart"/>
            <w:r>
              <w:rPr>
                <w:sz w:val="20"/>
                <w:szCs w:val="20"/>
              </w:rPr>
              <w:t>Shore</w:t>
            </w:r>
            <w:proofErr w:type="spellEnd"/>
            <w:r>
              <w:rPr>
                <w:sz w:val="20"/>
                <w:szCs w:val="20"/>
              </w:rPr>
              <w:t xml:space="preserve"> Power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2C625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5D9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CEE 230 V z automatycznym przełącznikiem priorytetu prądu. Separator ładujący akumulator rozruchowy przy podłączeniu zabudowy do sieci.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39F10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10F499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A918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135E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pod agregat zewnętrzny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22467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6265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Wejście umożliwiające podłączenie przenośnego agregatu prądotwórczego (scenariusz kryzysowy).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2A7D2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9EB1F78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8475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7.4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A96DE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Dystrybucja energii</w:t>
            </w:r>
          </w:p>
        </w:tc>
      </w:tr>
      <w:tr w:rsidR="00D37A65" w14:paraId="051FE48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2340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7D66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Gniazda 230 V wewnętrzne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7EBD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B005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 punktów w przestrzeni użytkowej.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8458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279D4A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8F918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CF74A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Porty USB-C (Power </w:t>
            </w:r>
            <w:r>
              <w:rPr>
                <w:sz w:val="20"/>
                <w:szCs w:val="20"/>
              </w:rPr>
              <w:lastRenderedPageBreak/>
              <w:t>Delivery)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B583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33907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szybkie porty USB-C w strefie roboczej.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3918D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940C70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DF020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C87D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Tablica monitoringu elektrycznego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D485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112D2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Wyświetlacz LCD z bieżącymi parametrami: napięcie (V), natężenie (A), moc (W), poziom naładowania (%).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FEF66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344A00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215D8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0E883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Okablowanie wewnętrzne instalacji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8BB2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57CEC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Kompletne przygotowanie okablowania pod ekran, nagłośnienie, oświetlenie i podgrzewacz wody.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A53DE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06CD5C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BB457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7.5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3DC4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Łączność internetowa</w:t>
            </w:r>
          </w:p>
        </w:tc>
      </w:tr>
      <w:tr w:rsidR="00D37A65" w14:paraId="1B5406A7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01316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D0A3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Router LTE/5G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1ED9A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07A1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Przemysłowy router z anteną dachową MIMO 4×4 i kartą SIM. Kluczowy element komunikacji kryzysowej. Kartę SIM zapewnia Zamawiający.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A8947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436358C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8FE6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84A8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Główny ekran wewnętrzny</w:t>
            </w:r>
          </w:p>
        </w:tc>
      </w:tr>
      <w:tr w:rsidR="00D37A65" w14:paraId="22933A0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B132F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FCC32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Ekran wewnętrzny 65" specyfikacja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D7D3C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E4A25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 profesjonalny 65", matryca IPS/VA do pracy ciągłej 24/7, jasność min. 800 cd/m², </w:t>
            </w:r>
            <w:proofErr w:type="spellStart"/>
            <w:r>
              <w:rPr>
                <w:sz w:val="20"/>
                <w:szCs w:val="20"/>
              </w:rPr>
              <w:t>Autoplay</w:t>
            </w:r>
            <w:proofErr w:type="spellEnd"/>
            <w:r>
              <w:rPr>
                <w:sz w:val="20"/>
                <w:szCs w:val="20"/>
              </w:rPr>
              <w:t xml:space="preserve"> USB, min. 3×HDMI, wbudowane głośniki. Zamontowany wewnątrz kontenera na regulowanym uchwycie ściennym umożliwiającym zmianę kąta i pozycji ekranu. Blokada transportowa zabezpieczająca ekran na czas jazdy. Model referencyjny: </w:t>
            </w:r>
            <w:proofErr w:type="spellStart"/>
            <w:r>
              <w:rPr>
                <w:sz w:val="20"/>
                <w:szCs w:val="20"/>
              </w:rPr>
              <w:t>iiyama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ProLite</w:t>
            </w:r>
            <w:proofErr w:type="spellEnd"/>
            <w:r>
              <w:rPr>
                <w:sz w:val="20"/>
                <w:szCs w:val="20"/>
              </w:rPr>
              <w:t xml:space="preserve"> LH6541UHS lub równoważny.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34685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599D04F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2509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F914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sygnału ekranu głównego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A451D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E470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Sygnał zewnętrzny (laptop, HDMI, USB) i lokalny. Możliwość wyświetlania różnych treści niezależnie.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374F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9DCDA3E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D95E9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0E6BF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Zabezpieczenie transportowe ekranu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4FF9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1EEF9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czas jazdy.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DAE05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EBF43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AD73A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3AED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13] Drugi ekran 65" zewnętrzny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A47FE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CAE6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 profesjonalny 65", matryca IPS/VA do pracy ciągłej 24/7, jasność min. 800 cd/m², </w:t>
            </w:r>
            <w:proofErr w:type="spellStart"/>
            <w:r>
              <w:rPr>
                <w:sz w:val="20"/>
                <w:szCs w:val="20"/>
              </w:rPr>
              <w:t>Autoplay</w:t>
            </w:r>
            <w:proofErr w:type="spellEnd"/>
            <w:r>
              <w:rPr>
                <w:sz w:val="20"/>
                <w:szCs w:val="20"/>
              </w:rPr>
              <w:t xml:space="preserve"> USB, min. 3×HDMI, wbudowane głośniki. Montowany na poprzeczce VESA wpiętej w zawiasy rozłączne systemu z sekcji 6.5 — wyłącznie w pozycji zewnętrznej, skierowanej do odwiedzających po stronie podestu bocznego. Opcja wymaga zakupu poprzeczki VESA z sekcji 6.5. Blokada transportowa na czas jazdy. Model referencyjny: </w:t>
            </w:r>
            <w:proofErr w:type="spellStart"/>
            <w:r>
              <w:rPr>
                <w:sz w:val="20"/>
                <w:szCs w:val="20"/>
              </w:rPr>
              <w:t>iiyama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ProLite</w:t>
            </w:r>
            <w:proofErr w:type="spellEnd"/>
            <w:r>
              <w:rPr>
                <w:sz w:val="20"/>
                <w:szCs w:val="20"/>
              </w:rPr>
              <w:t xml:space="preserve"> LH6541UHS lub równoważny.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8CD6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177732C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04535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8.2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FF2D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nagłośnienia mobilnego (estradowego)</w:t>
            </w:r>
          </w:p>
        </w:tc>
      </w:tr>
      <w:tr w:rsidR="00D37A65" w14:paraId="13F11187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8A3C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E62C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Systemy kolumnowe – 1 szt.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8FBAE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02885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Przenośny aktywny (</w:t>
            </w:r>
            <w:proofErr w:type="spellStart"/>
            <w:r>
              <w:rPr>
                <w:sz w:val="20"/>
                <w:szCs w:val="20"/>
              </w:rPr>
              <w:t>subwoofer</w:t>
            </w:r>
            <w:proofErr w:type="spellEnd"/>
            <w:r>
              <w:rPr>
                <w:sz w:val="20"/>
                <w:szCs w:val="20"/>
              </w:rPr>
              <w:t xml:space="preserve"> + słupek liniowy). Wymagania: SPL max ≥ 122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  <w:r>
              <w:rPr>
                <w:sz w:val="20"/>
                <w:szCs w:val="20"/>
              </w:rPr>
              <w:t>, moc ≥ 1 200 W (</w:t>
            </w:r>
            <w:proofErr w:type="spellStart"/>
            <w:r>
              <w:rPr>
                <w:sz w:val="20"/>
                <w:szCs w:val="20"/>
              </w:rPr>
              <w:t>peak</w:t>
            </w:r>
            <w:proofErr w:type="spellEnd"/>
            <w:r>
              <w:rPr>
                <w:sz w:val="20"/>
                <w:szCs w:val="20"/>
              </w:rPr>
              <w:t xml:space="preserve">), mikser min. 5-kanałowy z DSP, </w:t>
            </w:r>
            <w:proofErr w:type="spellStart"/>
            <w:r>
              <w:rPr>
                <w:sz w:val="20"/>
                <w:szCs w:val="20"/>
              </w:rPr>
              <w:t>phantom</w:t>
            </w:r>
            <w:proofErr w:type="spellEnd"/>
            <w:r>
              <w:rPr>
                <w:sz w:val="20"/>
                <w:szCs w:val="20"/>
              </w:rPr>
              <w:t xml:space="preserve"> 48 V, Bluetooth + </w:t>
            </w:r>
            <w:proofErr w:type="spellStart"/>
            <w:r>
              <w:rPr>
                <w:sz w:val="20"/>
                <w:szCs w:val="20"/>
              </w:rPr>
              <w:t>app</w:t>
            </w:r>
            <w:proofErr w:type="spellEnd"/>
            <w:r>
              <w:rPr>
                <w:sz w:val="20"/>
                <w:szCs w:val="20"/>
              </w:rPr>
              <w:t>, zasilanie hybrydowe (230 V + akumulator ≥ 5 h), waga ≤ 25 kg/szt. Model referencyjny: JBL EON ONE MK2 lub równoważny.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42EB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9EE77B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A22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5842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Mikrofony bezprzewodowe – 2 szt.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F4E29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A561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Doręczne</w:t>
            </w:r>
            <w:proofErr w:type="spellEnd"/>
            <w:r>
              <w:rPr>
                <w:sz w:val="20"/>
                <w:szCs w:val="20"/>
              </w:rPr>
              <w:t>, cyfrowy system UHF, zasięg min. 100 m, praca min. 12 h, wyjście XLR/</w:t>
            </w:r>
            <w:proofErr w:type="spellStart"/>
            <w:r>
              <w:rPr>
                <w:sz w:val="20"/>
                <w:szCs w:val="20"/>
              </w:rPr>
              <w:t>jack</w:t>
            </w:r>
            <w:proofErr w:type="spellEnd"/>
            <w:r>
              <w:rPr>
                <w:sz w:val="20"/>
                <w:szCs w:val="20"/>
              </w:rPr>
              <w:t xml:space="preserve">. Model referencyjny: </w:t>
            </w:r>
            <w:proofErr w:type="spellStart"/>
            <w:r>
              <w:rPr>
                <w:sz w:val="20"/>
                <w:szCs w:val="20"/>
              </w:rPr>
              <w:t>Sennheiser</w:t>
            </w:r>
            <w:proofErr w:type="spellEnd"/>
            <w:r>
              <w:rPr>
                <w:sz w:val="20"/>
                <w:szCs w:val="20"/>
              </w:rPr>
              <w:t xml:space="preserve"> EW-DP 835 SET lub równoważny.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9BB9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9E578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732B2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8.2.3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4B4D2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14] Druga kolumna głośnikowa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DCF1F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3C89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Druga sztuka systemu kolumnowego identyczna z kolumną z wariantu podstawowego (</w:t>
            </w:r>
            <w:proofErr w:type="spellStart"/>
            <w:r>
              <w:rPr>
                <w:sz w:val="20"/>
                <w:szCs w:val="20"/>
              </w:rPr>
              <w:t>subwoofer</w:t>
            </w:r>
            <w:proofErr w:type="spellEnd"/>
            <w:r>
              <w:rPr>
                <w:sz w:val="20"/>
                <w:szCs w:val="20"/>
              </w:rPr>
              <w:t xml:space="preserve"> + słupek liniowy, ref. JBL EON ONE MK2 lub równoważny).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61664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9FDFD7F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9017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E7499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ostrzegawczy – nagłośnienie dachowe</w:t>
            </w:r>
          </w:p>
        </w:tc>
      </w:tr>
      <w:tr w:rsidR="00D37A65" w14:paraId="4BA20C5E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F29EF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CA56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Głośniki tubowe dachowe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1AF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909B7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 radiowęzłowy 100 V. Min. 2 hermetyczne głośniki tubowe na dachu, zintegrowane z żółtym oświetleniem ostrzegawczym. Skuteczność min. 110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  <w:r>
              <w:rPr>
                <w:sz w:val="20"/>
                <w:szCs w:val="20"/>
              </w:rPr>
              <w:t xml:space="preserve"> (1 m).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A8C53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BDC23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15FF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8C780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Wzmacniacz i mikrofon dachowy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E6705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7005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Wzmacniacz ze strefowym mikrofonem wewnątrz. Sterowanie z kabiny kierowcy i z systemu nagłośnienia.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96C2D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27EDA21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FB6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AA90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Oświetlenie zabudowy i otoczenia</w:t>
            </w:r>
          </w:p>
        </w:tc>
      </w:tr>
      <w:tr w:rsidR="00D37A65" w14:paraId="03E9DE7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831B6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BFEC9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robocze zewnętrzne 360°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E4BF2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8590D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Zewnętrzne panele LED na wszystkich 4 ścianach pojazdu. Moc każdego panelu min. 3 000 lm. Sterowanie niezależne dla każdej z 4 ścian.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12238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3D3B7C5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084EB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C0103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ogólne LED sufitowe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3A79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4C53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 punktów, min. 2 000 lm/punkt, min. 500 lx, barwa ~4 000 K.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347E0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2CA954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DE9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81F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ekspozycyjne kierunkowe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11C85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3F58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reflektory z regulacją kierunku, min. 2 000 lm, min. 700 lx w strefach ekspozycji.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3E3D8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0C76FED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E3BC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D74F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Oświetlenie LED </w:t>
            </w:r>
            <w:proofErr w:type="spellStart"/>
            <w:r>
              <w:rPr>
                <w:sz w:val="20"/>
                <w:szCs w:val="20"/>
              </w:rPr>
              <w:t>ambientowe</w:t>
            </w:r>
            <w:proofErr w:type="spellEnd"/>
            <w:r>
              <w:rPr>
                <w:sz w:val="20"/>
                <w:szCs w:val="20"/>
              </w:rPr>
              <w:t xml:space="preserve"> klapy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B2FC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5565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Zintegrowane z klapą boczną.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3E080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7DACB9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1DC0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6CBE3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drzwi tylnych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CB086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0EDE0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punkty.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69186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F4768BA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035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014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Niezależne obwody oświetlenia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AEB5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705BD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3 niezależne obwody: ogólne / ekspozycyjne / </w:t>
            </w:r>
            <w:proofErr w:type="spellStart"/>
            <w:r>
              <w:rPr>
                <w:sz w:val="20"/>
                <w:szCs w:val="20"/>
              </w:rPr>
              <w:t>ambientowe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13E8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FBB11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8972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9.1.7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EEE5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Panel sterowania oświetleniem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D6B5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FE317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możliwością regulacji natężenia.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D6C9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0E4C432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C51D1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FABB0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Ogrzewanie i klimatyzacja postojowa</w:t>
            </w:r>
          </w:p>
        </w:tc>
      </w:tr>
      <w:tr w:rsidR="00D37A65" w14:paraId="4205CBAA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4779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853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Ogrzewanie niezależne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46B3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569E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olej napędowy, moc min. 8 </w:t>
            </w:r>
            <w:proofErr w:type="spellStart"/>
            <w:r>
              <w:rPr>
                <w:sz w:val="20"/>
                <w:szCs w:val="20"/>
              </w:rPr>
              <w:t>kW.</w:t>
            </w:r>
            <w:proofErr w:type="spellEnd"/>
            <w:r>
              <w:rPr>
                <w:sz w:val="20"/>
                <w:szCs w:val="20"/>
              </w:rPr>
              <w:t xml:space="preserve"> Kanałowe z równomiernym rozprowadzenie ciepła w całej przestrzeni użytkowej oraz wyprofilowaniem nadmuchu jako kurtyna powietrzna przy otwartej klapie bocznej. Praca bez uruchomionego silnika.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0593D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B23729B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631EC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A1D4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Sterowanie ogrzewaniem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5588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59118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Dostępne dla użytkownika.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0197A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F55A1A7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F059B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AF48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15] Klimatyzacja przestrzeni użytkowej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769F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F1F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proponuje rozwiązanie i podaje wpływ na DMC.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D3B86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D96C873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76E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10.2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D5F7F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Gospodarka wodna i gastronomia</w:t>
            </w:r>
          </w:p>
        </w:tc>
      </w:tr>
      <w:tr w:rsidR="00D37A65" w14:paraId="60F0B703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4B8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6C31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Zbiornik na wodę czystą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F4BC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FBD11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40 l, zintegrowany z zabudową. Możliwość podłączenia do zewnętrznego </w:t>
            </w:r>
            <w:r>
              <w:rPr>
                <w:sz w:val="20"/>
                <w:szCs w:val="20"/>
              </w:rPr>
              <w:lastRenderedPageBreak/>
              <w:t>źródła wody.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11C2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CBE3658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A9E1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3EDAE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Zbiornik na wodę szarą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60B35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D389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 l, zintegrowany z zabudową.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1023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DD8A54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37A34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8109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Pompa ciśnieniowa wody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5B4FF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176E7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Membranowa, bezpośrednio współpracująca z warnikiem.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F61D8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A7D723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48923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1D4B0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Warnik przepływowy (HORECA)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D319B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F40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 stali nierdzewnej, zgodny z HACCP. Pojemność min. 10 l, wydajność min. 35 l/h, zasilanie 230 V/50 </w:t>
            </w:r>
            <w:proofErr w:type="spellStart"/>
            <w:r>
              <w:rPr>
                <w:sz w:val="20"/>
                <w:szCs w:val="20"/>
              </w:rPr>
              <w:t>Hz</w:t>
            </w:r>
            <w:proofErr w:type="spellEnd"/>
            <w:r>
              <w:rPr>
                <w:sz w:val="20"/>
                <w:szCs w:val="20"/>
              </w:rPr>
              <w:t>, moc min. 2 500 W. Automatyczne napełnianie z wewnętrznego zbiornika za pomocą pompy. Zabezpieczenie przed przegrzaniem i pracą na sucho. Wymiary maks.: 260×400×650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9FBF5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BBB35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42FA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F4FAE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16] Zlew jednokomorowy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B271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7AB2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 stali nierdzewnej, wpuszczany w blat, przykrywany demontowaną klapą. Pełne wpięcie w system pomp. Zbiornik na wodę brudną min. 20 l.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C913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D6ACF1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DCBC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10.2.6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2E7E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17] Lodówka kompresorowa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C9F86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4AD7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Zasilana 12 V/230 V, pojemność min. 20 l, wbudowana i wentylowana w szafce.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330C4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754B2F4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969FE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8174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Oznakowanie i </w:t>
            </w:r>
            <w:proofErr w:type="spellStart"/>
            <w:r>
              <w:rPr>
                <w:b/>
                <w:bCs/>
                <w:sz w:val="20"/>
                <w:szCs w:val="20"/>
              </w:rPr>
              <w:t>branding</w:t>
            </w:r>
            <w:proofErr w:type="spellEnd"/>
          </w:p>
        </w:tc>
      </w:tr>
      <w:tr w:rsidR="00D37A65" w14:paraId="02A5D537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622B5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253CE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Oklejenie zewnętrzne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9E991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447D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Całkowite oklejenie zabudowy folią wylewaną z laminatem UV, Full </w:t>
            </w:r>
            <w:proofErr w:type="spellStart"/>
            <w:r>
              <w:rPr>
                <w:sz w:val="20"/>
                <w:szCs w:val="20"/>
              </w:rPr>
              <w:t>Color</w:t>
            </w:r>
            <w:proofErr w:type="spellEnd"/>
            <w:r>
              <w:rPr>
                <w:sz w:val="20"/>
                <w:szCs w:val="20"/>
              </w:rPr>
              <w:t>, według projektu graficznego Zamawiającego. Zakres: zabudowa + szoferka.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251BB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F9371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F151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C726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Odporność materiałów </w:t>
            </w:r>
            <w:proofErr w:type="spellStart"/>
            <w:r>
              <w:rPr>
                <w:sz w:val="20"/>
                <w:szCs w:val="20"/>
              </w:rPr>
              <w:t>brandingu</w:t>
            </w:r>
            <w:proofErr w:type="spellEnd"/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13247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6BB4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UV, warunki atmosferyczne i uszkodzenia mechaniczne.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0939B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6D1E0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C269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55798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Branding</w:t>
            </w:r>
            <w:proofErr w:type="spellEnd"/>
            <w:r>
              <w:rPr>
                <w:sz w:val="20"/>
                <w:szCs w:val="20"/>
              </w:rPr>
              <w:t xml:space="preserve"> wewnętrzny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36A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BFA79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Elementy </w:t>
            </w:r>
            <w:proofErr w:type="spellStart"/>
            <w:r>
              <w:rPr>
                <w:sz w:val="20"/>
                <w:szCs w:val="20"/>
              </w:rPr>
              <w:t>brandingowe</w:t>
            </w:r>
            <w:proofErr w:type="spellEnd"/>
            <w:r>
              <w:rPr>
                <w:sz w:val="20"/>
                <w:szCs w:val="20"/>
              </w:rPr>
              <w:t xml:space="preserve"> wewnątrz zabudowy zgodne z projektem Zamawiającego.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D2FB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02B6E9E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24FC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14.1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0A033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Gwarancja i serwis</w:t>
            </w:r>
          </w:p>
        </w:tc>
      </w:tr>
      <w:tr w:rsidR="00D37A65" w14:paraId="7E0E7107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3F58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229E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na zabudowę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39C1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B3B0F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24 miesiące od daty odbioru końcowego. Realizowana bezpośrednio u Wykonawcy zabudowy.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8A56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1BAC0D6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13091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5162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na podwozie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49D2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2FD135" w14:textId="25996759" w:rsidR="00D37A65" w:rsidRDefault="003A6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3A677E">
              <w:rPr>
                <w:sz w:val="20"/>
                <w:szCs w:val="20"/>
              </w:rPr>
              <w:t>Gwarancja producenta pojazdu bazowego: min. 24 miesiące lub 100 000 km (w zależności od tego, co nastąpi wcześniej). Naprawy gwarancyjne w ASO producenta na terenie Polski.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79B8F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77CA74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84C6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14.1.3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BC56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reakcji serwisowej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4F5A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58261A" w14:textId="4A84CA67" w:rsidR="00D37A65" w:rsidRPr="0048511F" w:rsidRDefault="0085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48511F">
              <w:rPr>
                <w:sz w:val="20"/>
                <w:szCs w:val="20"/>
              </w:rPr>
              <w:t>Czas reakcji: do 2 dni roboczych, Czas usunięcia usterki: do 10 dni roboczych.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BA847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E9F70E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224B30" w14:textId="6C3782F2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</w:t>
            </w:r>
            <w:r w:rsidR="0001618E">
              <w:rPr>
                <w:sz w:val="20"/>
                <w:szCs w:val="20"/>
              </w:rPr>
              <w:t>4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AB69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Dostępność części zamiennych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F0820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BA1E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szacowany okres dostępności części do zabudowy.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2F8AB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164BE92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B7CD18" w14:textId="37D86D89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</w:t>
            </w:r>
            <w:r w:rsidR="0001618E">
              <w:rPr>
                <w:sz w:val="20"/>
                <w:szCs w:val="20"/>
              </w:rPr>
              <w:t>5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43F8F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Szkolenie operatorów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327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FE1D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godziny w siedzibie Zamawiającego lub miejscu przez niego wskazanym.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1A1B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F5DA92" w14:textId="77777777">
        <w:tc>
          <w:tcPr>
            <w:tcW w:w="63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FB4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14.3</w:t>
            </w:r>
          </w:p>
        </w:tc>
        <w:tc>
          <w:tcPr>
            <w:tcW w:w="13410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ECFEB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Dokumentacja powykonawcza</w:t>
            </w:r>
          </w:p>
        </w:tc>
      </w:tr>
      <w:tr w:rsidR="00D37A65" w14:paraId="22D6F4DC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CF168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14.3.1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07D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Dokumentacja techniczna powykonawcza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E81B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C21E7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Pełne schematy instalacji elektrycznej (230 V i 12/24 V) z protokołami pomiarów RCD, atesty zabudowy, certyfikaty wagowe (dokładna masa </w:t>
            </w:r>
            <w:r>
              <w:rPr>
                <w:sz w:val="20"/>
                <w:szCs w:val="20"/>
              </w:rPr>
              <w:lastRenderedPageBreak/>
              <w:t>gotowego pojazdu).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8B4A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6E274C1" w14:textId="77777777">
        <w:tc>
          <w:tcPr>
            <w:tcW w:w="6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7C6A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14.3.2</w:t>
            </w:r>
          </w:p>
        </w:tc>
        <w:tc>
          <w:tcPr>
            <w:tcW w:w="22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099F2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rejestracyjne pojazdu specjalnego</w:t>
            </w:r>
          </w:p>
        </w:tc>
        <w:tc>
          <w:tcPr>
            <w:tcW w:w="10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C1A9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5419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 dokumentów umożliwiających pierwszą rejestrację pojazdu w Polsce: homologacja / dopuszczenie jednostkowe, faktura sprzedaży, certyfikat </w:t>
            </w:r>
            <w:proofErr w:type="spellStart"/>
            <w:r>
              <w:rPr>
                <w:sz w:val="20"/>
                <w:szCs w:val="20"/>
              </w:rPr>
              <w:t>zabudowcy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B207D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A5E0D1" w14:textId="77777777" w:rsidR="00D37A65" w:rsidRDefault="00D37A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37A65" w14:paraId="60C2D7E2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E5717" w14:textId="64A603FB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1689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  <w:p w14:paraId="5794A7DA" w14:textId="77777777" w:rsidR="00DD7F2D" w:rsidRDefault="00D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  <w:p w14:paraId="5BC4537F" w14:textId="77777777" w:rsidR="00DD7F2D" w:rsidRDefault="00D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  <w:p w14:paraId="51EF34A1" w14:textId="4FF3942B" w:rsidR="00DD7F2D" w:rsidRDefault="00D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</w:tc>
      </w:tr>
    </w:tbl>
    <w:tbl>
      <w:tblPr>
        <w:tblStyle w:val="a0"/>
        <w:tblW w:w="5000" w:type="pct"/>
        <w:tblInd w:w="0" w:type="dxa"/>
        <w:tblLook w:val="04A0" w:firstRow="1" w:lastRow="0" w:firstColumn="1" w:lastColumn="0" w:noHBand="0" w:noVBand="1"/>
      </w:tblPr>
      <w:tblGrid>
        <w:gridCol w:w="4567"/>
        <w:gridCol w:w="4713"/>
        <w:gridCol w:w="3680"/>
      </w:tblGrid>
      <w:tr w:rsidR="00DD7F2D" w14:paraId="2B76F45E" w14:textId="77777777" w:rsidTr="00DD7F2D">
        <w:tc>
          <w:tcPr>
            <w:tcW w:w="1774" w:type="pct"/>
            <w:hideMark/>
          </w:tcPr>
          <w:p w14:paraId="19A8ED3D" w14:textId="77777777" w:rsidR="00DD7F2D" w:rsidRDefault="00DD7F2D" w:rsidP="00B92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  <w:tc>
          <w:tcPr>
            <w:tcW w:w="1830" w:type="pct"/>
            <w:hideMark/>
          </w:tcPr>
          <w:p w14:paraId="00A20638" w14:textId="77777777" w:rsidR="00DD7F2D" w:rsidRDefault="00DD7F2D" w:rsidP="00B92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1396" w:type="pct"/>
            <w:hideMark/>
          </w:tcPr>
          <w:p w14:paraId="62D549A4" w14:textId="77777777" w:rsidR="00DD7F2D" w:rsidRDefault="00DD7F2D" w:rsidP="00B92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</w:tr>
      <w:tr w:rsidR="00DD7F2D" w14:paraId="27CB13BF" w14:textId="77777777" w:rsidTr="00DD7F2D">
        <w:trPr>
          <w:trHeight w:val="16"/>
        </w:trPr>
        <w:tc>
          <w:tcPr>
            <w:tcW w:w="1774" w:type="pct"/>
            <w:hideMark/>
          </w:tcPr>
          <w:p w14:paraId="0D898CA6" w14:textId="77777777" w:rsidR="00DD7F2D" w:rsidRDefault="00DD7F2D" w:rsidP="00B9210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/miejscowość/</w:t>
            </w:r>
          </w:p>
        </w:tc>
        <w:tc>
          <w:tcPr>
            <w:tcW w:w="1830" w:type="pct"/>
            <w:hideMark/>
          </w:tcPr>
          <w:p w14:paraId="70E56F41" w14:textId="77777777" w:rsidR="00DD7F2D" w:rsidRDefault="00DD7F2D" w:rsidP="00B921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/data/</w:t>
            </w:r>
          </w:p>
        </w:tc>
        <w:tc>
          <w:tcPr>
            <w:tcW w:w="1396" w:type="pct"/>
            <w:hideMark/>
          </w:tcPr>
          <w:p w14:paraId="2CE9FE3C" w14:textId="77777777" w:rsidR="00DD7F2D" w:rsidRDefault="00DD7F2D" w:rsidP="00B9210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/czytelny podpis lub podpis z pieczęcią imienną osoby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br/>
              <w:t>(osób) uprawnionych do reprezentowania Wykonawcy/</w:t>
            </w:r>
          </w:p>
        </w:tc>
      </w:tr>
    </w:tbl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37A65" w14:paraId="0B4641CE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0D95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FD8E3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</w:tr>
    </w:tbl>
    <w:p w14:paraId="2157438B" w14:textId="77777777" w:rsidR="00D37A65" w:rsidRDefault="00D37A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555555"/>
          <w:sz w:val="18"/>
          <w:szCs w:val="18"/>
        </w:rPr>
      </w:pPr>
    </w:p>
    <w:sectPr w:rsidR="00D37A65">
      <w:footerReference w:type="default" r:id="rId6"/>
      <w:pgSz w:w="15840" w:h="12240" w:orient="landscape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0F37A4" w14:textId="77777777" w:rsidR="00385AE6" w:rsidRDefault="00385AE6" w:rsidP="00AC749A">
      <w:r>
        <w:separator/>
      </w:r>
    </w:p>
  </w:endnote>
  <w:endnote w:type="continuationSeparator" w:id="0">
    <w:p w14:paraId="3E3139E1" w14:textId="77777777" w:rsidR="00385AE6" w:rsidRDefault="00385AE6" w:rsidP="00AC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6350CABE-B25B-7044-A479-D34196246D52}"/>
    <w:embedBold r:id="rId2" w:fontKey="{3CC40D38-F6D8-B14A-A024-0C96F3C85AE8}"/>
    <w:embedItalic r:id="rId3" w:fontKey="{649C6CB1-F0E5-BD43-8D40-784544DD03AA}"/>
    <w:embedBoldItalic r:id="rId4" w:fontKey="{E76DBFAC-80CB-B447-8F87-59D51EF8D6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BF82671C-9EBF-6549-8814-90B68EB5AD50}"/>
    <w:embedItalic r:id="rId6" w:fontKey="{613BDD86-1E19-2149-B784-489EE7EA2F6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28284D3F-30F4-3B40-B31C-CCC9954A6C0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985BFE01-11D9-434C-8A6B-F10A152193F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68062EBC-E63D-1F44-87F9-9B6F63DD45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9103837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EA3FC3B" w14:textId="35F31D22" w:rsidR="00AC749A" w:rsidRPr="00AC749A" w:rsidRDefault="00AC749A">
        <w:pPr>
          <w:pStyle w:val="Stopka"/>
          <w:jc w:val="right"/>
          <w:rPr>
            <w:rFonts w:eastAsiaTheme="majorEastAsia"/>
            <w:sz w:val="18"/>
            <w:szCs w:val="18"/>
          </w:rPr>
        </w:pPr>
        <w:r w:rsidRPr="00AC749A">
          <w:rPr>
            <w:rFonts w:eastAsiaTheme="majorEastAsia"/>
            <w:sz w:val="18"/>
            <w:szCs w:val="18"/>
          </w:rPr>
          <w:t xml:space="preserve">str. </w:t>
        </w:r>
        <w:r w:rsidRPr="00AC749A">
          <w:rPr>
            <w:rFonts w:eastAsiaTheme="minorEastAsia"/>
            <w:sz w:val="18"/>
            <w:szCs w:val="18"/>
          </w:rPr>
          <w:fldChar w:fldCharType="begin"/>
        </w:r>
        <w:r w:rsidRPr="00AC749A">
          <w:rPr>
            <w:sz w:val="18"/>
            <w:szCs w:val="18"/>
          </w:rPr>
          <w:instrText>PAGE    \* MERGEFORMAT</w:instrText>
        </w:r>
        <w:r w:rsidRPr="00AC749A">
          <w:rPr>
            <w:rFonts w:eastAsiaTheme="minorEastAsia"/>
            <w:sz w:val="18"/>
            <w:szCs w:val="18"/>
          </w:rPr>
          <w:fldChar w:fldCharType="separate"/>
        </w:r>
        <w:r w:rsidRPr="00AC749A">
          <w:rPr>
            <w:rFonts w:eastAsiaTheme="majorEastAsia"/>
            <w:sz w:val="18"/>
            <w:szCs w:val="18"/>
          </w:rPr>
          <w:t>2</w:t>
        </w:r>
        <w:r w:rsidRPr="00AC749A">
          <w:rPr>
            <w:rFonts w:eastAsiaTheme="majorEastAsia"/>
            <w:sz w:val="18"/>
            <w:szCs w:val="18"/>
          </w:rPr>
          <w:fldChar w:fldCharType="end"/>
        </w:r>
      </w:p>
    </w:sdtContent>
  </w:sdt>
  <w:p w14:paraId="2CE9BCF3" w14:textId="77777777" w:rsidR="00AC749A" w:rsidRDefault="00AC74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CD7916" w14:textId="77777777" w:rsidR="00385AE6" w:rsidRDefault="00385AE6" w:rsidP="00AC749A">
      <w:r>
        <w:separator/>
      </w:r>
    </w:p>
  </w:footnote>
  <w:footnote w:type="continuationSeparator" w:id="0">
    <w:p w14:paraId="1C64132D" w14:textId="77777777" w:rsidR="00385AE6" w:rsidRDefault="00385AE6" w:rsidP="00AC749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65"/>
    <w:rsid w:val="0001618E"/>
    <w:rsid w:val="00032C7A"/>
    <w:rsid w:val="00054C12"/>
    <w:rsid w:val="00183B5F"/>
    <w:rsid w:val="001C0F9D"/>
    <w:rsid w:val="002650E6"/>
    <w:rsid w:val="002E5349"/>
    <w:rsid w:val="00385AE6"/>
    <w:rsid w:val="003A677E"/>
    <w:rsid w:val="00403667"/>
    <w:rsid w:val="0048511F"/>
    <w:rsid w:val="004A245F"/>
    <w:rsid w:val="00603FFC"/>
    <w:rsid w:val="0068785E"/>
    <w:rsid w:val="00817986"/>
    <w:rsid w:val="008574D9"/>
    <w:rsid w:val="008D12EB"/>
    <w:rsid w:val="008F4894"/>
    <w:rsid w:val="00910BD4"/>
    <w:rsid w:val="00950F4B"/>
    <w:rsid w:val="0096011E"/>
    <w:rsid w:val="009A75D2"/>
    <w:rsid w:val="009D4F2F"/>
    <w:rsid w:val="00AC34D6"/>
    <w:rsid w:val="00AC749A"/>
    <w:rsid w:val="00AE325F"/>
    <w:rsid w:val="00BD0FEB"/>
    <w:rsid w:val="00C40193"/>
    <w:rsid w:val="00D37A65"/>
    <w:rsid w:val="00DD7F2D"/>
    <w:rsid w:val="00E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44A3"/>
  <w15:docId w15:val="{F2CDF0BD-AF05-44C4-9594-C2EA803E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AC74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49A"/>
  </w:style>
  <w:style w:type="paragraph" w:styleId="Stopka">
    <w:name w:val="footer"/>
    <w:basedOn w:val="Normalny"/>
    <w:link w:val="StopkaZnak"/>
    <w:uiPriority w:val="99"/>
    <w:unhideWhenUsed/>
    <w:rsid w:val="00AC74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25</Pages>
  <Words>3811</Words>
  <Characters>22871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Przemysław Wronecki</cp:lastModifiedBy>
  <cp:revision>9</cp:revision>
  <dcterms:created xsi:type="dcterms:W3CDTF">2026-07-08T07:39:00Z</dcterms:created>
  <dcterms:modified xsi:type="dcterms:W3CDTF">2026-07-16T21:01:00Z</dcterms:modified>
</cp:coreProperties>
</file>